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XML完全开发指南</w:t>
      </w:r>
    </w:p>
    <w:p>
      <w:r>
        <w:rPr>
          <w:rFonts w:ascii="宋体" w:hAnsi="宋体" w:eastAsia="宋体"/>
          <w:sz w:val="24"/>
        </w:rPr>
        <w:t>孙更新，裴红义，杨金龙编著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XML完全开发指南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孙更新，裴红义，杨金龙编著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本书出售、求购地址：https://www.jiaokey.com/book/detail/11987723.html</w:t>
      </w:r>
    </w:p>
    <w:p>
      <w:r>
        <w:t>更多相关图书推荐：https://www.jiaokey.com</w:t>
      </w:r>
    </w:p>
    <w:p>
      <w:r>
        <w:t>孙更新，裴红义，杨金龙编著 其他作品：https://www.jiaokey.com/tag/孙更新，裴红义，杨金龙编著.html</w:t>
      </w:r>
    </w:p>
    <w:p>
      <w:r>
        <w:t>北京：科学出版社；北京科海电子出版社 出版图书：https://www.jiaokey.com/tag/北京：科学出版社；北京科海电子出版社.html</w:t>
      </w:r>
    </w:p>
    <w:p>
      <w:r>
        <w:t>关键词搜索：https://www.jiaokey.com/tag/XML完全开发指南.html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