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高等学校“十一五”规划教材 PRO/E WILDFIRE三维造型实用教程</w:t>
      </w:r>
    </w:p>
    <w:p>
      <w:r>
        <w:rPr>
          <w:rFonts w:ascii="宋体" w:hAnsi="宋体" w:eastAsia="宋体"/>
          <w:sz w:val="24"/>
        </w:rPr>
        <w:t>马希青，孙海波主编；潘地林，刘平，陈功，丁淑辉副主编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高等学校“十一五”规划教材 PRO/E WILDFIRE三维造型实用教程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马希青，孙海波主编；潘地林，刘平，陈功，丁淑辉副主编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本书出售、求购地址：https://www.jiaokey.com/book/detail/11984288.html</w:t>
      </w:r>
    </w:p>
    <w:p>
      <w:r>
        <w:t>更多相关图书推荐：https://www.jiaokey.com</w:t>
      </w:r>
    </w:p>
    <w:p>
      <w:r>
        <w:t>马希青，孙海波主编；潘地林，刘平，陈功，丁淑辉副主编 其他作品：https://www.jiaokey.com/tag/马希青，孙海波主编；潘地林，刘平，陈功，丁淑辉副主编.html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关键词搜索：https://www.jiaokey.com/tag/高等学校“十一五”规划教材 PRO/E WILDFIRE三维造型实用教程.html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