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创业学案例</w:t>
      </w:r>
    </w:p>
    <w:p>
      <w:r>
        <w:rPr>
          <w:rFonts w:ascii="宋体" w:hAnsi="宋体" w:eastAsia="宋体"/>
          <w:sz w:val="24"/>
        </w:rPr>
        <w:t>（加）埃里克·A.莫尔斯 罗纳德·K.米切尔主编；周颖 李成军 胡盈译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（加）埃里克·A.莫尔斯 罗纳德·K.米切尔主编；周颖 李成军 胡盈译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本书出售、求购地址：https://www.jiaokey.com/book/detail/11982893.html</w:t>
      </w:r>
    </w:p>
    <w:p>
      <w:r>
        <w:t>更多相关图书推荐：https://www.jiaokey.com</w:t>
      </w:r>
    </w:p>
    <w:p>
      <w:r>
        <w:t>（加）埃里克·A.莫尔斯 罗纳德·K.米切尔主编；周颖 李成军 胡盈译 其他作品：https://www.jiaokey.com/tag/（加）埃里克·A.莫尔斯 罗纳德·K.米切尔主编；周颖 李成军 胡盈译.html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关键词搜索：https://www.jiaokey.com/tag/创业学案例.html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