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上市公司投资者关系管理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上市公司投资者关系管理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本书出售、求购地址：https://www.jiaokey.com/book/detail/11980645.html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关键词搜索：https://www.jiaokey.com/tag/上市公司投资者关系管理.html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