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电力工业企业档案分类规则  水电厂企业档案分类表  试行</w:t>
      </w:r>
    </w:p>
    <w:p>
      <w:r>
        <w:rPr>
          <w:rFonts w:ascii="宋体" w:hAnsi="宋体" w:eastAsia="宋体"/>
          <w:sz w:val="24"/>
        </w:rPr>
        <w:t>能源部编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电力工业企业档案分类规则  水电厂企业档案分类表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本书出售、求购地址：https://www.jiaokey.com/book/detail/11977665.html</w:t>
      </w:r>
    </w:p>
    <w:p>
      <w:r>
        <w:t>更多相关图书推荐：https://www.jiaokey.com</w:t>
      </w:r>
    </w:p>
    <w:p>
      <w:r>
        <w:t>能源部编 其他作品：https://www.jiaokey.com/tag/能源部编.html</w:t>
      </w:r>
    </w:p>
    <w:p>
      <w:r>
        <w:t>关键词搜索：https://www.jiaokey.com/tag/电力工业企业档案分类规则  水电厂企业档案分类表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