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风景名胜区条例释义</w:t>
      </w:r>
    </w:p>
    <w:p>
      <w:r>
        <w:rPr>
          <w:rFonts w:ascii="宋体" w:hAnsi="宋体" w:eastAsia="宋体"/>
          <w:sz w:val="24"/>
        </w:rPr>
        <w:t>王振江，冯俊，李东序主编；王胜军等编写；国务院法制办农业资源环保法制司，建设部政策法规司、城市建设司编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风景名胜区条例释义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王振江，冯俊，李东序主编；王胜军等编写；国务院法制办农业资源环保法制司，建设部政策法规司、城市建设司编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本书出售、求购地址：https://www.jiaokey.com/book/detail/11969324.html</w:t>
      </w:r>
    </w:p>
    <w:p>
      <w:r>
        <w:t>更多相关图书推荐：https://www.jiaokey.com</w:t>
      </w:r>
    </w:p>
    <w:p>
      <w:r>
        <w:t>王振江，冯俊，李东序主编；王胜军等编写；国务院法制办农业资源环保法制司，建设部政策法规司、城市建设司编 其他作品：https://www.jiaokey.com/tag/王振江，冯俊，李东序主编；王胜军等编写；国务院法制办农业资源环保法制司，建设部政策法规司、城市建设司编.html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关键词搜索：https://www.jiaokey.com/tag/风景名胜区条例释义.html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