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北京奥运会经济遗产及后奥运经济策略研究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戚永翎著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奥运会(学科: 关系 学科: 经济发展 地点: 北京市) 奥运会 经济发展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