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长江龙身腾飞战略  长江中部流域经济社会和谐发展研究</w:t>
      </w:r>
    </w:p>
    <w:p>
      <w:r>
        <w:rPr>
          <w:rFonts w:ascii="宋体" w:hAnsi="宋体" w:eastAsia="宋体"/>
          <w:sz w:val="24"/>
        </w:rPr>
        <w:t>薛泽洲著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长江龙身腾飞战略  长江中部流域经济社会和谐发展研究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薛泽洲著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本书出售、求购地址：https://www.jiaokey.com/book/detail/11965809.html</w:t>
      </w:r>
    </w:p>
    <w:p>
      <w:r>
        <w:t>更多相关图书推荐：https://www.jiaokey.com</w:t>
      </w:r>
    </w:p>
    <w:p>
      <w:r>
        <w:t>薛泽洲著 其他作品：https://www.jiaokey.com/tag/薛泽洲著.html</w:t>
      </w:r>
    </w:p>
    <w:p>
      <w:r>
        <w:t>中央党校 出版图书：https://www.jiaokey.com/tag/中央党校.html</w:t>
      </w:r>
    </w:p>
    <w:p>
      <w:r>
        <w:t>关键词搜索：https://www.jiaokey.com/tag/长江龙身腾飞战略  长江中部流域经济社会和谐发展研究.html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