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姜太公</w:t>
      </w:r>
    </w:p>
    <w:p>
      <w:r>
        <w:rPr>
          <w:rFonts w:ascii="宋体" w:hAnsi="宋体" w:eastAsia="宋体"/>
          <w:sz w:val="24"/>
        </w:rPr>
        <w:t>焦安南，李建义著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姜太公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焦安南，李建义著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本书出售、求购地址：https://www.jiaokey.com/book/detail/11961821.html</w:t>
      </w:r>
    </w:p>
    <w:p>
      <w:r>
        <w:t>更多相关图书推荐：https://www.jiaokey.com</w:t>
      </w:r>
    </w:p>
    <w:p>
      <w:r>
        <w:t>焦安南，李建义著 其他作品：https://www.jiaokey.com/tag/焦安南，李建义著.html</w:t>
      </w:r>
    </w:p>
    <w:p>
      <w:r>
        <w:t>北京:国际文化出版公司,2007.12 出版图书：https://www.jiaokey.com/tag/北京:国际文化出版公司,2007.12.html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