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深入精髓 Dreamweaver 8+ASP动态网站建设技术精粹</w:t>
      </w:r>
    </w:p>
    <w:p>
      <w:r>
        <w:rPr>
          <w:rFonts w:ascii="宋体" w:hAnsi="宋体" w:eastAsia="宋体"/>
          <w:sz w:val="24"/>
        </w:rPr>
        <w:t>4U2V视频教学网主编；杨格，余晓浩，曾双明等编著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深入精髓 Dreamweaver 8+ASP动态网站建设技术精粹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4U2V视频教学网主编；杨格，余晓浩，曾双明等编著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本书出售、求购地址：https://www.jiaokey.com/book/detail/11949521.html</w:t>
      </w:r>
    </w:p>
    <w:p>
      <w:r>
        <w:t>更多相关图书推荐：https://www.jiaokey.com</w:t>
      </w:r>
    </w:p>
    <w:p>
      <w:r>
        <w:t>4U2V视频教学网主编；杨格，余晓浩，曾双明等编著 其他作品：https://www.jiaokey.com/tag/4U2V视频教学网主编；杨格，余晓浩，曾双明等编著.html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关键词搜索：https://www.jiaokey.com/tag/深入精髓 Dreamweaver 8+ASP动态网站建设技术精粹.html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