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世界一流大学：亚洲和拉美国家的实践</w:t>
      </w:r>
    </w:p>
    <w:p>
      <w:r>
        <w:rPr>
          <w:rFonts w:ascii="宋体" w:hAnsi="宋体" w:eastAsia="宋体"/>
          <w:sz w:val="24"/>
        </w:rPr>
        <w:t>菲利普·阿特巴赫，乔治·巴兰主编；吴燕，宋吉缮等译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世界一流大学：亚洲和拉美国家的实践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菲利普·阿特巴赫，乔治·巴兰主编；吴燕，宋吉缮等译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本书出售、求购地址：https://www.jiaokey.com/book/detail/11941851.html</w:t>
      </w:r>
    </w:p>
    <w:p>
      <w:r>
        <w:t>更多相关图书推荐：https://www.jiaokey.com</w:t>
      </w:r>
    </w:p>
    <w:p>
      <w:r>
        <w:t>菲利普·阿特巴赫，乔治·巴兰主编；吴燕，宋吉缮等译 其他作品：https://www.jiaokey.com/tag/菲利普·阿特巴赫，乔治·巴兰主编；吴燕，宋吉缮等译.html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关键词搜索：https://www.jiaokey.com/tag/世界一流大学：亚洲和拉美国家的实践.html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