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美术专业教学指导</w:t>
      </w:r>
    </w:p>
    <w:p>
      <w:r>
        <w:rPr>
          <w:rFonts w:ascii="宋体" w:hAnsi="宋体" w:eastAsia="宋体"/>
          <w:sz w:val="24"/>
        </w:rPr>
        <w:t>尹继鸣主编；易云生，许开强，许奋，侯云汉，张墨菊，刘意著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尹继鸣主编；易云生，许开强，许奋，侯云汉，张墨菊，刘意著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本书出售、求购地址：https://www.jiaokey.com/book/detail/11933436.html</w:t>
      </w:r>
    </w:p>
    <w:p>
      <w:r>
        <w:t>更多相关图书推荐：https://www.jiaokey.com</w:t>
      </w:r>
    </w:p>
    <w:p>
      <w:r>
        <w:t>尹继鸣主编；易云生，许开强，许奋，侯云汉，张墨菊，刘意著 其他作品：https://www.jiaokey.com/tag/尹继鸣主编；易云生，许开强，许奋，侯云汉，张墨菊，刘意著.html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关键词搜索：https://www.jiaokey.com/tag/美术专业教学指导.html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