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沉潜与超越：曹玉林论当代中国画名家</w:t>
      </w:r>
    </w:p>
    <w:p>
      <w:r>
        <w:rPr>
          <w:rFonts w:ascii="宋体" w:hAnsi="宋体" w:eastAsia="宋体"/>
          <w:sz w:val="24"/>
        </w:rPr>
        <w:t>曹玉林著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沉潜与超越：曹玉林论当代中国画名家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本书出售、求购地址：https://www.jiaokey.com/book/detail/11929419.html</w:t>
      </w:r>
    </w:p>
    <w:p>
      <w:r>
        <w:t>更多相关图书推荐：https://www.jiaokey.com</w:t>
      </w:r>
    </w:p>
    <w:p>
      <w:r>
        <w:t>曹玉林著 其他作品：https://www.jiaokey.com/tag/曹玉林著.html</w:t>
      </w:r>
    </w:p>
    <w:p>
      <w:r>
        <w:t>成都市：四川美术出版社；四川出版集团 出版图书：https://www.jiaokey.com/tag/成都市：四川美术出版社；四川出版集团.html</w:t>
      </w:r>
    </w:p>
    <w:p>
      <w:r>
        <w:t>关键词搜索：https://www.jiaokey.com/tag/沉潜与超越：曹玉林论当代中国画名家.html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