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锅炉运行</w:t>
      </w:r>
    </w:p>
    <w:p>
      <w:r>
        <w:rPr>
          <w:rFonts w:ascii="宋体" w:hAnsi="宋体" w:eastAsia="宋体"/>
          <w:sz w:val="24"/>
        </w:rPr>
        <w:t>李增枝主编；门丕勋，李兆吉，项树钧编写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李增枝主编；门丕勋，李兆吉，项树钧编写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本书出售、求购地址：https://www.jiaokey.com/book/detail/11922240.html</w:t>
      </w:r>
    </w:p>
    <w:p>
      <w:r>
        <w:t>更多相关图书推荐：https://www.jiaokey.com</w:t>
      </w:r>
    </w:p>
    <w:p>
      <w:r>
        <w:t>李增枝主编；门丕勋，李兆吉，项树钧编写 其他作品：https://www.jiaokey.com/tag/李增枝主编；门丕勋，李兆吉，项树钧编写.html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