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创造公平竞争的法制环境政策环境市场环境</w:t>
      </w:r>
    </w:p>
    <w:p>
      <w:r>
        <w:rPr>
          <w:rFonts w:ascii="宋体" w:hAnsi="宋体" w:eastAsia="宋体"/>
          <w:sz w:val="24"/>
        </w:rPr>
        <w:t>全国工商联研究室，国家发改委中小企业司，国务院研究室工交贸易司编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创造公平竞争的法制环境政策环境市场环境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全国工商联研究室，国家发改委中小企业司，国务院研究室工交贸易司编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本书出售、求购地址：https://www.jiaokey.com/book/detail/11914957.html</w:t>
      </w:r>
    </w:p>
    <w:p>
      <w:r>
        <w:t>更多相关图书推荐：https://www.jiaokey.com</w:t>
      </w:r>
    </w:p>
    <w:p>
      <w:r>
        <w:t>全国工商联研究室，国家发改委中小企业司，国务院研究室工交贸易司编 其他作品：https://www.jiaokey.com/tag/全国工商联研究室，国家发改委中小企业司，国务院研究室工交贸易司编.html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关键词搜索：https://www.jiaokey.com/tag/创造公平竞争的法制环境政策环境市场环境.html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