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混成动态系统引论</w:t>
      </w:r>
    </w:p>
    <w:p>
      <w:r>
        <w:rPr>
          <w:rFonts w:ascii="宋体" w:hAnsi="宋体" w:eastAsia="宋体"/>
          <w:sz w:val="24"/>
        </w:rPr>
        <w:t>（荷）杉福特（Schaft，A.V.D.），（荷）淑玛澈著；宋永华等译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混成动态系统引论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（荷）杉福特（Schaft，A.V.D.），（荷）淑玛澈著；宋永华等译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本书出售、求购地址：https://www.jiaokey.com/book/detail/11911812.html</w:t>
      </w:r>
    </w:p>
    <w:p>
      <w:r>
        <w:t>更多相关图书推荐：https://www.jiaokey.com</w:t>
      </w:r>
    </w:p>
    <w:p>
      <w:r>
        <w:t>（荷）杉福特（Schaft，A.V.D.），（荷）淑玛澈著；宋永华等译 其他作品：https://www.jiaokey.com/tag/（荷）杉福特（Schaft，A.V.D.），（荷）淑玛澈著；宋永华等译.html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关键词搜索：https://www.jiaokey.com/tag/混成动态系统引论.html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