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不同规格河蟹放养效果和经济效益的比较分析</w:t>
      </w:r>
    </w:p>
    <w:p>
      <w:r>
        <w:rPr>
          <w:rFonts w:ascii="宋体" w:hAnsi="宋体" w:eastAsia="宋体"/>
          <w:sz w:val="24"/>
        </w:rPr>
        <w:t>曹维孝，张国良，乔新美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不同规格河蟹放养效果和经济效益的比较分析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曹维孝，张国良，乔新美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本书出售、求购地址：https://www.jiaokey.com/book/detail/11911001.html</w:t>
      </w:r>
    </w:p>
    <w:p>
      <w:r>
        <w:t>更多相关图书推荐：https://www.jiaokey.com</w:t>
      </w:r>
    </w:p>
    <w:p>
      <w:r>
        <w:t>曹维孝，张国良，乔新美 其他作品：https://www.jiaokey.com/tag/曹维孝，张国良，乔新美.html</w:t>
      </w:r>
    </w:p>
    <w:p>
      <w:r>
        <w:t>关键词搜索：https://www.jiaokey.com/tag/不同规格河蟹放养效果和经济效益的比较分析.html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