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长江口河蟹越冬产卵群体的保护和资源利用</w:t>
      </w:r>
    </w:p>
    <w:p>
      <w:r>
        <w:rPr>
          <w:rFonts w:ascii="宋体" w:hAnsi="宋体" w:eastAsia="宋体"/>
          <w:sz w:val="24"/>
        </w:rPr>
        <w:t>施德龙，龚志高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长江口河蟹越冬产卵群体的保护和资源利用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施德龙，龚志高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本书出售、求购地址：https://www.jiaokey.com/book/detail/11910995.html</w:t>
      </w:r>
    </w:p>
    <w:p>
      <w:r>
        <w:t>更多相关图书推荐：https://www.jiaokey.com</w:t>
      </w:r>
    </w:p>
    <w:p>
      <w:r>
        <w:t>施德龙，龚志高 其他作品：https://www.jiaokey.com/tag/施德龙，龚志高.html</w:t>
      </w:r>
    </w:p>
    <w:p>
      <w:r>
        <w:t>关键词搜索：https://www.jiaokey.com/tag/长江口河蟹越冬产卵群体的保护和资源利用.html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