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提高河蟹单位水体出苗率的方法</w:t>
      </w:r>
    </w:p>
    <w:p>
      <w:r>
        <w:rPr>
          <w:rFonts w:ascii="宋体" w:hAnsi="宋体" w:eastAsia="宋体"/>
          <w:sz w:val="24"/>
        </w:rPr>
        <w:t>田晓平，杜尚坤，刘彬，李海利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提高河蟹单位水体出苗率的方法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田晓平，杜尚坤，刘彬，李海利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本书出售、求购地址：https://www.jiaokey.com/book/detail/11910125.html</w:t>
      </w:r>
    </w:p>
    <w:p>
      <w:r>
        <w:t>更多相关图书推荐：https://www.jiaokey.com</w:t>
      </w:r>
    </w:p>
    <w:p>
      <w:r>
        <w:t>田晓平，杜尚坤，刘彬，李海利 其他作品：https://www.jiaokey.com/tag/田晓平，杜尚坤，刘彬，李海利.html</w:t>
      </w:r>
    </w:p>
    <w:p>
      <w:r>
        <w:t>关键词搜索：https://www.jiaokey.com/tag/提高河蟹单位水体出苗率的方法.html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