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斑节对虾幼体纤毛虫病的防治</w:t>
      </w:r>
    </w:p>
    <w:p>
      <w:r>
        <w:rPr>
          <w:rFonts w:ascii="宋体" w:hAnsi="宋体" w:eastAsia="宋体"/>
          <w:sz w:val="24"/>
        </w:rPr>
        <w:t>张河坚，王广潜，沈楚汉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斑节对虾幼体纤毛虫病的防治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张河坚，王广潜，沈楚汉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本书出售、求购地址：https://www.jiaokey.com/book/detail/11909519.html</w:t>
      </w:r>
    </w:p>
    <w:p>
      <w:r>
        <w:t>更多相关图书推荐：https://www.jiaokey.com</w:t>
      </w:r>
    </w:p>
    <w:p>
      <w:r>
        <w:t>张河坚，王广潜，沈楚汉 其他作品：https://www.jiaokey.com/tag/张河坚，王广潜，沈楚汉.html</w:t>
      </w:r>
    </w:p>
    <w:p>
      <w:r>
        <w:t>关键词搜索：https://www.jiaokey.com/tag/斑节对虾幼体纤毛虫病的防治.html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