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鱼鳖混养高产高效技术</w:t>
      </w:r>
    </w:p>
    <w:p>
      <w:r>
        <w:rPr>
          <w:rFonts w:ascii="宋体" w:hAnsi="宋体" w:eastAsia="宋体"/>
          <w:sz w:val="24"/>
        </w:rPr>
        <w:t>金建林，陈宏铭，朱长根，杨福生，罗兴时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鱼鳖混养高产高效技术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金建林，陈宏铭，朱长根，杨福生，罗兴时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本书出售、求购地址：https://www.jiaokey.com/book/detail/11909439.html</w:t>
      </w:r>
    </w:p>
    <w:p>
      <w:r>
        <w:t>更多相关图书推荐：https://www.jiaokey.com</w:t>
      </w:r>
    </w:p>
    <w:p>
      <w:r>
        <w:t>金建林，陈宏铭，朱长根，杨福生，罗兴时 其他作品：https://www.jiaokey.com/tag/金建林，陈宏铭，朱长根，杨福生，罗兴时.html</w:t>
      </w:r>
    </w:p>
    <w:p>
      <w:r>
        <w:t>关键词搜索：https://www.jiaokey.com/tag/鱼鳖混养高产高效技术.html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