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公关的威力：新传媒时代高回报率营销传播指南</w:t>
      </w:r>
    </w:p>
    <w:p>
      <w:r>
        <w:rPr>
          <w:rFonts w:ascii="宋体" w:hAnsi="宋体" w:eastAsia="宋体"/>
          <w:sz w:val="24"/>
        </w:rPr>
        <w:t>MARK WEINER著；毛圆媛 李奕霏 丁彦之译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公关的威力：新传媒时代高回报率营销传播指南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WEINER著；毛圆媛 李奕霏 丁彦之译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本书出售、求购地址：https://www.jiaokey.com/book/detail/11902287.html</w:t>
      </w:r>
    </w:p>
    <w:p>
      <w:r>
        <w:t>更多相关图书推荐：https://www.jiaokey.com</w:t>
      </w:r>
    </w:p>
    <w:p>
      <w:r>
        <w:t>MARK WEINER著；毛圆媛 李奕霏 丁彦之译 其他作品：https://www.jiaokey.com/tag/MARK WEINER著；毛圆媛 李奕霏 丁彦之译.html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关键词搜索：https://www.jiaokey.com/tag/公关的威力：新传媒时代高回报率营销传播指南.html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