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股权结构、私有收益与控制权转移</w:t>
      </w:r>
    </w:p>
    <w:p>
      <w:r>
        <w:rPr>
          <w:rFonts w:ascii="宋体" w:hAnsi="宋体" w:eastAsia="宋体"/>
          <w:sz w:val="24"/>
        </w:rPr>
        <w:t>曾昭灶著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股权结构、私有收益与控制权转移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曾昭灶著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本书出售、求购地址：https://www.jiaokey.com/book/detail/11902271.html</w:t>
      </w:r>
    </w:p>
    <w:p>
      <w:r>
        <w:t>更多相关图书推荐：https://www.jiaokey.com</w:t>
      </w:r>
    </w:p>
    <w:p>
      <w:r>
        <w:t>曾昭灶著 其他作品：https://www.jiaokey.com/tag/曾昭灶著.html</w:t>
      </w:r>
    </w:p>
    <w:p>
      <w:r>
        <w:t>关键词搜索：https://www.jiaokey.com/tag/股权结构、私有收益与控制权转移.html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