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专家应诊  常见都市病中医疗法</w:t>
      </w:r>
    </w:p>
    <w:p>
      <w:r>
        <w:rPr>
          <w:rFonts w:ascii="宋体" w:hAnsi="宋体" w:eastAsia="宋体"/>
          <w:sz w:val="24"/>
        </w:rPr>
        <w:t>浸大中医药研究所有限公司·香港浸会大学编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专家应诊  常见都市病中医疗法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浸大中医药研究所有限公司·香港浸会大学编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万里机构；得利书局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本书出售、求购地址：https://www.jiaokey.com/book/detail/11898671.html</w:t>
      </w:r>
    </w:p>
    <w:p>
      <w:r>
        <w:t>更多相关图书推荐：https://www.jiaokey.com</w:t>
      </w:r>
    </w:p>
    <w:p>
      <w:r>
        <w:t>浸大中医药研究所有限公司·香港浸会大学编 其他作品：https://www.jiaokey.com/tag/浸大中医药研究所有限公司·香港浸会大学编.html</w:t>
      </w:r>
    </w:p>
    <w:p>
      <w:r>
        <w:t>万里机构；得利书局 出版图书：https://www.jiaokey.com/tag/万里机构；得利书局.html</w:t>
      </w:r>
    </w:p>
    <w:p>
      <w:r>
        <w:t>关键词搜索：https://www.jiaokey.com/tag/专家应诊  常见都市病中医疗法.html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