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水资源系统动力学特征及合理配置的理论与实践</w:t>
      </w:r>
    </w:p>
    <w:p>
      <w:r>
        <w:rPr>
          <w:rFonts w:ascii="宋体" w:hAnsi="宋体" w:eastAsia="宋体"/>
          <w:sz w:val="24"/>
        </w:rPr>
        <w:t>陈南祥，徐建新，黄强著（西安理工大学水利水电学院）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水资源系统动力学特征及合理配置的理论与实践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陈南祥，徐建新，黄强著（西安理工大学水利水电学院）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本书出售、求购地址：https://www.jiaokey.com/book/detail/11896248.html</w:t>
      </w:r>
    </w:p>
    <w:p>
      <w:r>
        <w:t>更多相关图书推荐：https://www.jiaokey.com</w:t>
      </w:r>
    </w:p>
    <w:p>
      <w:r>
        <w:t>陈南祥，徐建新，黄强著（西安理工大学水利水电学院） 其他作品：https://www.jiaokey.com/tag/陈南祥，徐建新，黄强著（西安理工大学水利水电学院）.html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关键词搜索：https://www.jiaokey.com/tag/水资源系统动力学特征及合理配置的理论与实践.html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