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新形势下税收工作要论  下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新形势下税收工作要论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本书出售、求购地址：https://www.jiaokey.com/book/detail/11895367.html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关键词搜索：https://www.jiaokey.com/tag/新形势下税收工作要论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