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解读最高人民法院司法解释  2006年卷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解读最高人民法院司法解释  2006年卷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本书出售、求购地址：https://www.jiaokey.com/book/detail/11894728.html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关键词搜索：https://www.jiaokey.com/tag/解读最高人民法院司法解释  2006年卷.html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