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游戏架构设计与策划</w:t>
      </w:r>
    </w:p>
    <w:p>
      <w:r>
        <w:rPr>
          <w:rFonts w:ascii="宋体" w:hAnsi="宋体" w:eastAsia="宋体"/>
          <w:sz w:val="24"/>
        </w:rPr>
        <w:t>信息产业部软件与集成电路促进中心，北京汇众益智科技有限公司编著0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游戏架构设计与策划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信息产业部软件与集成电路促进中心，北京汇众益智科技有限公司编著0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本书出售、求购地址：https://www.jiaokey.com/book/detail/11891391.html</w:t>
      </w:r>
    </w:p>
    <w:p>
      <w:r>
        <w:t>更多相关图书推荐：https://www.jiaokey.com</w:t>
      </w:r>
    </w:p>
    <w:p>
      <w:r>
        <w:t>信息产业部软件与集成电路促进中心，北京汇众益智科技有限公司编著0 其他作品：https://www.jiaokey.com/tag/信息产业部软件与集成电路促进中心，北京汇众益智科技有限公司编著0.html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关键词搜索：https://www.jiaokey.com/tag/游戏架构设计与策划.html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