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  制度选择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  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本书出售、求购地址：https://www.jiaokey.com/book/detail/11891349.html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关键词搜索：https://www.jiaokey.com/tag/竞争优势  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