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ASP动态网站开发技术与应用</w:t>
      </w:r>
    </w:p>
    <w:p>
      <w:r>
        <w:rPr>
          <w:rFonts w:ascii="宋体" w:hAnsi="宋体" w:eastAsia="宋体"/>
          <w:sz w:val="24"/>
        </w:rPr>
        <w:t>韩殿元主编；王承军，徐兴敏副主编；马桂峰，王成宣编著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ASP动态网站开发技术与应用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韩殿元主编；王承军，徐兴敏副主编；马桂峰，王成宣编著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本书出售、求购地址：https://www.jiaokey.com/book/detail/11888917.html</w:t>
      </w:r>
    </w:p>
    <w:p>
      <w:r>
        <w:t>更多相关图书推荐：https://www.jiaokey.com</w:t>
      </w:r>
    </w:p>
    <w:p>
      <w:r>
        <w:t>韩殿元主编；王承军，徐兴敏副主编；马桂峰，王成宣编著 其他作品：https://www.jiaokey.com/tag/韩殿元主编；王承军，徐兴敏副主编；马桂峰，王成宣编著.html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关键词搜索：https://www.jiaokey.com/tag/ASP动态网站开发技术与应用.html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