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 例题详解与课程设计指导</w:t>
      </w:r>
    </w:p>
    <w:p>
      <w:r>
        <w:rPr>
          <w:rFonts w:ascii="宋体" w:hAnsi="宋体" w:eastAsia="宋体"/>
          <w:sz w:val="24"/>
        </w:rPr>
        <w:t>秦锋，袁志祥主编；陈学进，王森玉，郑啸，程泽凯副主编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 例题详解与课程设计指导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秦锋，袁志祥主编；陈学进，王森玉，郑啸，程泽凯副主编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本书出售、求购地址：https://www.jiaokey.com/book/detail/11887720.html</w:t>
      </w:r>
    </w:p>
    <w:p>
      <w:r>
        <w:t>更多相关图书推荐：https://www.jiaokey.com</w:t>
      </w:r>
    </w:p>
    <w:p>
      <w:r>
        <w:t>秦锋，袁志祥主编；陈学进，王森玉，郑啸，程泽凯副主编 其他作品：https://www.jiaokey.com/tag/秦锋，袁志祥主编；陈学进，王森玉，郑啸，程泽凯副主编.html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 C语言版 例题详解与课程设计指导.html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