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批判性地域主义  全球化世界中的建筑及其特性</w:t>
      </w:r>
    </w:p>
    <w:p>
      <w:r>
        <w:rPr>
          <w:rFonts w:ascii="宋体" w:hAnsi="宋体" w:eastAsia="宋体"/>
          <w:sz w:val="24"/>
        </w:rPr>
        <w:t>（荷）亚历山大·楚尼斯，利亚纳·勒费夫尔著；王丙辰译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批判性地域主义  全球化世界中的建筑及其特性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（荷）亚历山大·楚尼斯，利亚纳·勒费夫尔著；王丙辰译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本书出售、求购地址：https://www.jiaokey.com/book/detail/11887090.html</w:t>
      </w:r>
    </w:p>
    <w:p>
      <w:r>
        <w:t>更多相关图书推荐：https://www.jiaokey.com</w:t>
      </w:r>
    </w:p>
    <w:p>
      <w:r>
        <w:t>（荷）亚历山大·楚尼斯，利亚纳·勒费夫尔著；王丙辰译 其他作品：https://www.jiaokey.com/tag/（荷）亚历山大·楚尼斯，利亚纳·勒费夫尔著；王丙辰译.html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关键词搜索：https://www.jiaokey.com/tag/批判性地域主义  全球化世界中的建筑及其特性.html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