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核心竞争力：教育文化战略建构与实施</w:t>
      </w:r>
    </w:p>
    <w:p>
      <w:r>
        <w:rPr>
          <w:rFonts w:ascii="宋体" w:hAnsi="宋体" w:eastAsia="宋体"/>
          <w:sz w:val="24"/>
        </w:rPr>
        <w:t>周培植主编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核心竞争力：教育文化战略建构与实施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周培植主编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本书出售、求购地址：https://www.jiaokey.com/book/detail/11882705.html</w:t>
      </w:r>
    </w:p>
    <w:p>
      <w:r>
        <w:t>更多相关图书推荐：https://www.jiaokey.com</w:t>
      </w:r>
    </w:p>
    <w:p>
      <w:r>
        <w:t>周培植主编 其他作品：https://www.jiaokey.com/tag/周培植主编.html</w:t>
      </w:r>
    </w:p>
    <w:p>
      <w:r>
        <w:t>杭州：中国美术学院出版社 出版图书：https://www.jiaokey.com/tag/杭州：中国美术学院出版社.html</w:t>
      </w:r>
    </w:p>
    <w:p>
      <w:r>
        <w:t>关键词搜索：https://www.jiaokey.com/tag/核心竞争力：教育文化战略建构与实施.html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