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中国农村改革的先声  菏泽大包干</w:t>
      </w:r>
    </w:p>
    <w:p>
      <w:r>
        <w:rPr>
          <w:rFonts w:ascii="宋体" w:hAnsi="宋体" w:eastAsia="宋体"/>
          <w:sz w:val="24"/>
        </w:rPr>
        <w:t>王文升，岳滨，张存剑等编著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中国农村改革的先声  菏泽大包干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王文升，岳滨，张存剑等编著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本书出售、求购地址：https://www.jiaokey.com/book/detail/11881651.html</w:t>
      </w:r>
    </w:p>
    <w:p>
      <w:r>
        <w:t>更多相关图书推荐：https://www.jiaokey.com</w:t>
      </w:r>
    </w:p>
    <w:p>
      <w:r>
        <w:t>王文升，岳滨，张存剑等编著 其他作品：https://www.jiaokey.com/tag/王文升，岳滨，张存剑等编著.html</w:t>
      </w:r>
    </w:p>
    <w:p>
      <w:r>
        <w:t>山东出版集团；济南：山东人民出版社 出版图书：https://www.jiaokey.com/tag/山东出版集团；济南：山东人民出版社.html</w:t>
      </w:r>
    </w:p>
    <w:p>
      <w:r>
        <w:t>关键词搜索：https://www.jiaokey.com/tag/中国农村改革的先声  菏泽大包干.html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