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定性研究  第2卷  策略与艺术</w:t>
      </w:r>
    </w:p>
    <w:p>
      <w:r>
        <w:rPr>
          <w:rFonts w:ascii="宋体" w:hAnsi="宋体" w:eastAsia="宋体"/>
          <w:sz w:val="24"/>
        </w:rPr>
        <w:t>诺曼·K. 邓津（Norman K. Denzin），伊冯娜·S. 林肯（Yvonna S. Lincoln）主编；风笑天等译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定性研究  第2卷  策略与艺术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诺曼·K. 邓津（Norman K. Denzin），伊冯娜·S. 林肯（Yvonna S. Lincoln）主编；风笑天等译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本书出售、求购地址：https://www.jiaokey.com/book/detail/11880649.html</w:t>
      </w:r>
    </w:p>
    <w:p>
      <w:r>
        <w:t>更多相关图书推荐：https://www.jiaokey.com</w:t>
      </w:r>
    </w:p>
    <w:p>
      <w:r>
        <w:t>诺曼·K. 邓津（Norman K. Denzin），伊冯娜·S. 林肯（Yvonna S. Lincoln）主编；风笑天等译 其他作品：https://www.jiaokey.com/tag/诺曼·K. 邓津（Norman K. Denzin），伊冯娜·S. 林肯（Yvonna S. Lincoln）主编；风笑天等译.html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关键词搜索：https://www.jiaokey.com/tag/定性研究  第2卷  策略与艺术.html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