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Effects动画制作案例教程</w:t>
      </w:r>
    </w:p>
    <w:p>
      <w:r>
        <w:rPr>
          <w:rFonts w:ascii="宋体" w:hAnsi="宋体" w:eastAsia="宋体"/>
          <w:sz w:val="24"/>
        </w:rPr>
        <w:t>国家动画教学研究基地主编；王传东，宋鲁，张常霞编著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国家动画教学研究基地主编；王传东，宋鲁，张常霞编著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本书出售、求购地址：https://www.jiaokey.com/book/detail/11879640.html</w:t>
      </w:r>
    </w:p>
    <w:p>
      <w:r>
        <w:t>更多相关图书推荐：https://www.jiaokey.com</w:t>
      </w:r>
    </w:p>
    <w:p>
      <w:r>
        <w:t>国家动画教学研究基地主编；王传东，宋鲁，张常霞编著 其他作品：https://www.jiaokey.com/tag/国家动画教学研究基地主编；王传东，宋鲁，张常霞编著.html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