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知识产权的基本理念与前沿问题</w:t>
      </w:r>
    </w:p>
    <w:p>
      <w:r>
        <w:rPr>
          <w:rFonts w:ascii="宋体" w:hAnsi="宋体" w:eastAsia="宋体"/>
          <w:sz w:val="24"/>
        </w:rPr>
        <w:t>周俊强著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知识产权的基本理念与前沿问题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周俊强著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本书出售、求购地址：https://www.jiaokey.com/book/detail/11879055.html</w:t>
      </w:r>
    </w:p>
    <w:p>
      <w:r>
        <w:t>更多相关图书推荐：https://www.jiaokey.com</w:t>
      </w:r>
    </w:p>
    <w:p>
      <w:r>
        <w:t>周俊强著 其他作品：https://www.jiaokey.com/tag/周俊强著.html</w:t>
      </w:r>
    </w:p>
    <w:p>
      <w:r>
        <w:t>合肥：安徽人民出版社 出版图书：https://www.jiaokey.com/tag/合肥：安徽人民出版社.html</w:t>
      </w:r>
    </w:p>
    <w:p>
      <w:r>
        <w:t>关键词搜索：https://www.jiaokey.com/tag/知识产权的基本理念与前沿问题.html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