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工业锅炉设计计算方法</w:t>
      </w:r>
    </w:p>
    <w:p>
      <w:r>
        <w:rPr>
          <w:rFonts w:ascii="宋体" w:hAnsi="宋体" w:eastAsia="宋体"/>
          <w:sz w:val="24"/>
        </w:rPr>
        <w:t>乐家林主编；岑可法等编写；《工业锅炉设计计算方法》编委会编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工业锅炉设计计算方法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乐家林主编；岑可法等编写；《工业锅炉设计计算方法》编委会编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本书出售、求购地址：https://www.jiaokey.com/book/detail/11870589.html</w:t>
      </w:r>
    </w:p>
    <w:p>
      <w:r>
        <w:t>更多相关图书推荐：https://www.jiaokey.com</w:t>
      </w:r>
    </w:p>
    <w:p>
      <w:r>
        <w:t>乐家林主编；岑可法等编写；《工业锅炉设计计算方法》编委会编 其他作品：https://www.jiaokey.com/tag/乐家林主编；岑可法等编写；《工业锅炉设计计算方法》编委会编.html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关键词搜索：https://www.jiaokey.com/tag/工业锅炉设计计算方法.html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