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气相色谱方法及应用  （第二版）</w:t>
      </w:r>
    </w:p>
    <w:p>
      <w:r>
        <w:rPr>
          <w:rFonts w:ascii="宋体" w:hAnsi="宋体" w:eastAsia="宋体"/>
          <w:sz w:val="24"/>
        </w:rPr>
        <w:t>刘虎威编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气相色谱方法及应用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本书出售、求购地址：https://www.jiaokey.com/book/detail/11869787.html</w:t>
      </w:r>
    </w:p>
    <w:p>
      <w:r>
        <w:t>更多相关图书推荐：https://www.jiaokey.com</w:t>
      </w:r>
    </w:p>
    <w:p>
      <w:r>
        <w:t>刘虎威编 其他作品：https://www.jiaokey.com/tag/刘虎威编.html</w:t>
      </w:r>
    </w:p>
    <w:p>
      <w:r>
        <w:t>化学工业出版社 出版图书：https://www.jiaokey.com/tag/化学工业出版社.html</w:t>
      </w:r>
    </w:p>
    <w:p>
      <w:r>
        <w:t>关键词搜索：https://www.jiaokey.com/tag/气相色谱方法及应用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