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国家经济安全法律保障制度研究</w:t>
      </w:r>
    </w:p>
    <w:p>
      <w:r>
        <w:rPr>
          <w:rFonts w:ascii="宋体" w:hAnsi="宋体" w:eastAsia="宋体"/>
          <w:sz w:val="24"/>
        </w:rPr>
        <w:t>张晓君等著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国家经济安全法律保障制度研究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张晓君等著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本书出售、求购地址：https://www.jiaokey.com/book/detail/11869038.html</w:t>
      </w:r>
    </w:p>
    <w:p>
      <w:r>
        <w:t>更多相关图书推荐：https://www.jiaokey.com</w:t>
      </w:r>
    </w:p>
    <w:p>
      <w:r>
        <w:t>张晓君等著 其他作品：https://www.jiaokey.com/tag/张晓君等著.html</w:t>
      </w:r>
    </w:p>
    <w:p>
      <w:r>
        <w:t>重庆：重庆出版社 出版图书：https://www.jiaokey.com/tag/重庆：重庆出版社.html</w:t>
      </w:r>
    </w:p>
    <w:p>
      <w:r>
        <w:t>关键词搜索：https://www.jiaokey.com/tag/国家经济安全法律保障制度研究.html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