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热成型实用指南</w:t>
      </w:r>
    </w:p>
    <w:p>
      <w:r>
        <w:rPr>
          <w:rFonts w:ascii="宋体" w:hAnsi="宋体" w:eastAsia="宋体"/>
          <w:sz w:val="24"/>
        </w:rPr>
        <w:t>（德）A. 伊利希（Adolf Illig）主编；（德）P. 施瓦茨曼（Peter Schwarzmann）著；张丽叶，彭响方等译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热成型实用指南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 伊利希（Adolf Illig）主编；（德）P. 施瓦茨曼（Peter Schwarzmann）著；张丽叶，彭响方等译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本书出售、求购地址：https://www.jiaokey.com/book/detail/11862964.html</w:t>
      </w:r>
    </w:p>
    <w:p>
      <w:r>
        <w:t>更多相关图书推荐：https://www.jiaokey.com</w:t>
      </w:r>
    </w:p>
    <w:p>
      <w:r>
        <w:t>（德）A. 伊利希（Adolf Illig）主编；（德）P. 施瓦茨曼（Peter Schwarzmann）著；张丽叶，彭响方等译 其他作品：https://www.jiaokey.com/tag/（德）A. 伊利希（Adolf Illig）主编；（德）P. 施瓦茨曼（Peter Schwarzmann）著；张丽叶，彭响方等译.html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关键词搜索：https://www.jiaokey.com/tag/热成型实用指南.html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