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批判营销</w:t>
      </w:r>
    </w:p>
    <w:p>
      <w:r>
        <w:rPr>
          <w:rFonts w:ascii="宋体" w:hAnsi="宋体" w:eastAsia="宋体"/>
          <w:sz w:val="24"/>
        </w:rPr>
        <w:t>熊卫,高金城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熊卫,高金城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9787810797840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本书作者围绕这一问题，按传统营销理论的基本框架，结合中外营销实践的经验教训，以辩证批判的思路。对一些交流营销观念和实际操作手法的反思，并探讨了市场营销的发展趋势。</w:t>
      </w:r>
    </w:p>
    <w:p/>
    <w:p>
      <w:r>
        <w:t>本书出售、求购地址：https://www.jiaokey.com/book/detail/11862705.html</w:t>
      </w:r>
    </w:p>
    <w:p>
      <w:r>
        <w:t>更多商品流通与市场图书推荐：https://www.jiaokey.com</w:t>
      </w:r>
    </w:p>
    <w:p>
      <w:r>
        <w:t>熊卫,高金城 其他作品：https://www.jiaokey.com/tag/熊卫,高金城.html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