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现代城市运行管理</w:t>
      </w:r>
    </w:p>
    <w:p>
      <w:r>
        <w:rPr>
          <w:rFonts w:ascii="宋体" w:hAnsi="宋体" w:eastAsia="宋体"/>
          <w:sz w:val="24"/>
        </w:rPr>
        <w:t>北京市“2008”环境建设指挥部办公室，北京市社会科学院主编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现代城市运行管理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北京市“2008”环境建设指挥部办公室，北京市社会科学院主编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本书出售、求购地址：https://www.jiaokey.com/book/detail/11858155.html</w:t>
      </w:r>
    </w:p>
    <w:p>
      <w:r>
        <w:t>更多相关图书推荐：https://www.jiaokey.com</w:t>
      </w:r>
    </w:p>
    <w:p>
      <w:r>
        <w:t>北京市“2008”环境建设指挥部办公室，北京市社会科学院主编 其他作品：https://www.jiaokey.com/tag/北京市“2008”环境建设指挥部办公室，北京市社会科学院主编.html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关键词搜索：https://www.jiaokey.com/tag/现代城市运行管理.html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