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</w:t>
      </w:r>
    </w:p>
    <w:p>
      <w:r>
        <w:rPr>
          <w:rFonts w:ascii="宋体" w:hAnsi="宋体" w:eastAsia="宋体"/>
          <w:sz w:val="24"/>
        </w:rPr>
        <w:t>（汉）张仲景著；（宋）林亿校正，杨鹏举，侯仙明，杨延巍注释（贵阳中医学院研究生院）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（汉）张仲景著；（宋）林亿校正，杨鹏举，侯仙明，杨延巍注释（贵阳中医学院研究生院）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本书出售、求购地址：https://www.jiaokey.com/book/detail/11857290.html</w:t>
      </w:r>
    </w:p>
    <w:p>
      <w:r>
        <w:t>更多相关图书推荐：https://www.jiaokey.com</w:t>
      </w:r>
    </w:p>
    <w:p>
      <w:r>
        <w:t>（汉）张仲景著；（宋）林亿校正，杨鹏举，侯仙明，杨延巍注释（贵阳中医学院研究生院） 其他作品：https://www.jiaokey.com/tag/（汉）张仲景著；（宋）林亿校正，杨鹏举，侯仙明，杨延巍注释（贵阳中医学院研究生院）.html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关键词搜索：https://www.jiaokey.com/tag/金匮要略.html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