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湖泊和湿地水环境生态修复技术与管理指南</w:t>
      </w:r>
    </w:p>
    <w:p>
      <w:r>
        <w:rPr>
          <w:rFonts w:ascii="宋体" w:hAnsi="宋体" w:eastAsia="宋体"/>
          <w:sz w:val="24"/>
        </w:rPr>
        <w:t>金相灿，（日）稻森悠平，（韩）朴俊大等编著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湖泊和湿地水环境生态修复技术与管理指南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金相灿，（日）稻森悠平，（韩）朴俊大等编著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本书出售、求购地址：https://www.jiaokey.com/book/detail/11855510.html</w:t>
      </w:r>
    </w:p>
    <w:p>
      <w:r>
        <w:t>更多相关图书推荐：https://www.jiaokey.com</w:t>
      </w:r>
    </w:p>
    <w:p>
      <w:r>
        <w:t>金相灿，（日）稻森悠平，（韩）朴俊大等编著 其他作品：https://www.jiaokey.com/tag/金相灿，（日）稻森悠平，（韩）朴俊大等编著.html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关键词搜索：https://www.jiaokey.com/tag/湖泊和湿地水环境生态修复技术与管理指南.html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