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合成孔径雷达成像  算法与实现</w:t>
      </w:r>
    </w:p>
    <w:p>
      <w:r>
        <w:rPr>
          <w:rFonts w:ascii="宋体" w:hAnsi="宋体" w:eastAsia="宋体"/>
          <w:sz w:val="24"/>
        </w:rPr>
        <w:t>（美）卡明斯（Cumming，I.G.）等著；微波成像技术国家重点实验室译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合成孔径雷达成像  算法与实现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（美）卡明斯（Cumming，I.G.）等著；微波成像技术国家重点实验室译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本书出售、求购地址：https://www.jiaokey.com/book/detail/11854324.html</w:t>
      </w:r>
    </w:p>
    <w:p>
      <w:r>
        <w:t>更多相关图书推荐：https://www.jiaokey.com</w:t>
      </w:r>
    </w:p>
    <w:p>
      <w:r>
        <w:t>（美）卡明斯（Cumming，I.G.）等著；微波成像技术国家重点实验室译 其他作品：https://www.jiaokey.com/tag/（美）卡明斯（Cumming，I.G.）等著；微波成像技术国家重点实验室译.html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关键词搜索：https://www.jiaokey.com/tag/合成孔径雷达成像  算法与实现.html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