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商业银行危机管理</w:t>
      </w:r>
    </w:p>
    <w:p>
      <w:r>
        <w:rPr>
          <w:rFonts w:ascii="宋体" w:hAnsi="宋体" w:eastAsia="宋体"/>
          <w:sz w:val="24"/>
        </w:rPr>
        <w:t>王爱民 著 · 教客网电子书</w:t>
      </w:r>
    </w:p>
    <w:p>
      <w:r>
        <w:t>找书就上教客网 —— www.jiaokey.com</w:t>
      </w:r>
    </w:p>
    <w:p/>
    <w:p>
      <w:r>
        <w:drawing>
          <wp:inline xmlns:a="http://schemas.openxmlformats.org/drawingml/2006/main" xmlns:pic="http://schemas.openxmlformats.org/drawingml/2006/picture">
            <wp:extent cx="2743200" cy="3990109"/>
            <wp:docPr id="1" name="Picture 1"/>
            <wp:cNvGraphicFramePr>
              <a:graphicFrameLocks noChangeAspect="1"/>
            </wp:cNvGraphicFramePr>
            <a:graphic>
              <a:graphicData uri="http://schemas.openxmlformats.org/drawingml/2006/picture">
                <pic:pic>
                  <pic:nvPicPr>
                    <pic:cNvPr id="0" name="11852933.jpg"/>
                    <pic:cNvPicPr/>
                  </pic:nvPicPr>
                  <pic:blipFill>
                    <a:blip r:embed="rId9"/>
                    <a:stretch>
                      <a:fillRect/>
                    </a:stretch>
                  </pic:blipFill>
                  <pic:spPr>
                    <a:xfrm>
                      <a:off x="0" y="0"/>
                      <a:ext cx="2743200" cy="399010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商业银行危机管理</w:t>
            </w:r>
          </w:p>
        </w:tc>
      </w:tr>
      <w:tr>
        <w:tc>
          <w:tcPr>
            <w:tcW w:type="dxa" w:w="4320"/>
          </w:tcPr>
          <w:p>
            <w:r>
              <w:t>作者</w:t>
            </w:r>
          </w:p>
        </w:tc>
        <w:tc>
          <w:tcPr>
            <w:tcW w:type="dxa" w:w="4320"/>
          </w:tcPr>
          <w:p>
            <w:r>
              <w:t>王爱民</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978781098893X</w:t>
            </w:r>
          </w:p>
        </w:tc>
      </w:tr>
      <w:tr>
        <w:tc>
          <w:tcPr>
            <w:tcW w:type="dxa" w:w="4320"/>
          </w:tcPr>
          <w:p>
            <w:r>
              <w:t>出版日期</w:t>
            </w:r>
          </w:p>
        </w:tc>
        <w:tc>
          <w:tcPr>
            <w:tcW w:type="dxa" w:w="4320"/>
          </w:tcPr>
          <w:p>
            <w:r>
              <w:t>2007-05-01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t>商业银行-经济管理</w:t>
            </w:r>
          </w:p>
        </w:tc>
      </w:tr>
      <w:tr>
        <w:tc>
          <w:tcPr>
            <w:tcW w:type="dxa" w:w="4320"/>
          </w:tcPr>
          <w:p>
            <w:r>
              <w:t>分类</w:t>
            </w:r>
          </w:p>
        </w:tc>
        <w:tc>
          <w:tcPr>
            <w:tcW w:type="dxa" w:w="4320"/>
          </w:tcPr>
          <w:p>
            <w:r>
              <w:t>金融、银行理论</w:t>
            </w:r>
          </w:p>
        </w:tc>
      </w:tr>
    </w:tbl>
    <w:p/>
    <w:p>
      <w:pPr>
        <w:pStyle w:val="Heading1"/>
      </w:pPr>
      <w:r>
        <w:t>图书介绍</w:t>
      </w:r>
    </w:p>
    <w:p>
      <w:r>
        <w:t>本书首先阐述了单个银行危机的生成机理；然后从少数银行危机的传染路径和传染条件分析出发，探讨少数银行危机对不同经济部门的影响；最后分析我国商业银行的经营现状并提出我国在经济全球化和金融全球化过程中，更高效、有力地防范和处置银行危机的对策和建议。</w:t>
      </w:r>
    </w:p>
    <w:p/>
    <w:p>
      <w:r>
        <w:t>本书出售、求购地址：https://www.jiaokey.com/book/detail/11852933.html</w:t>
      </w:r>
    </w:p>
    <w:p>
      <w:r>
        <w:t>更多金融、银行理论图书推荐：https://www.jiaokey.com</w:t>
      </w:r>
    </w:p>
    <w:p>
      <w:r>
        <w:t>王爱民 其他作品：https://www.jiaokey.com/tag/王爱民.html</w:t>
      </w:r>
    </w:p>
    <w:p>
      <w:r>
        <w:t>上海：上海财经大学出版社 出版图书：https://www.jiaokey.com/tag/上海：上海财经大学出版社.html</w:t>
      </w:r>
    </w:p>
    <w:p>
      <w:r>
        <w:t>关键词搜索：https://www.jiaokey.com/tag/商业银行-经济管理.html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