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国际河流跨境水资源的合理利用与协调管理</w:t>
      </w:r>
    </w:p>
    <w:p>
      <w:r>
        <w:rPr>
          <w:rFonts w:ascii="宋体" w:hAnsi="宋体" w:eastAsia="宋体"/>
          <w:sz w:val="24"/>
        </w:rPr>
        <w:t>何大明，冯彦著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国际河流跨境水资源的合理利用与协调管理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何大明，冯彦著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本书出售、求购地址：https://www.jiaokey.com/book/detail/11850723.html</w:t>
      </w:r>
    </w:p>
    <w:p>
      <w:r>
        <w:t>更多相关图书推荐：https://www.jiaokey.com</w:t>
      </w:r>
    </w:p>
    <w:p>
      <w:r>
        <w:t>何大明，冯彦著 其他作品：https://www.jiaokey.com/tag/何大明，冯彦著.html</w:t>
      </w:r>
    </w:p>
    <w:p>
      <w:r>
        <w:t>科学出版社 出版图书：https://www.jiaokey.com/tag/科学出版社.html</w:t>
      </w:r>
    </w:p>
    <w:p>
      <w:r>
        <w:t>关键词搜索：https://www.jiaokey.com/tag/国际河流跨境水资源的合理利用与协调管理.html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