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法律·海洋法·渔业资源</w:t>
      </w:r>
    </w:p>
    <w:p>
      <w:r>
        <w:rPr>
          <w:rFonts w:ascii="宋体" w:hAnsi="宋体" w:eastAsia="宋体"/>
          <w:sz w:val="24"/>
        </w:rPr>
        <w:t>南海区渔业指挥部办公室渔政处编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法律·海洋法·渔业资源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南海区渔业指挥部办公室渔政处编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本书出售、求购地址：https://www.jiaokey.com/book/detail/11850466.html</w:t>
      </w:r>
    </w:p>
    <w:p>
      <w:r>
        <w:t>更多相关图书推荐：https://www.jiaokey.com</w:t>
      </w:r>
    </w:p>
    <w:p>
      <w:r>
        <w:t>南海区渔业指挥部办公室渔政处编 其他作品：https://www.jiaokey.com/tag/南海区渔业指挥部办公室渔政处编.html</w:t>
      </w:r>
    </w:p>
    <w:p>
      <w:r>
        <w:t>关键词搜索：https://www.jiaokey.com/tag/法律·海洋法·渔业资源.html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