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南美巴塔哥尼亚渔业资源及大西洋金枪鱼类资源现状</w:t>
      </w:r>
    </w:p>
    <w:p>
      <w:r>
        <w:rPr>
          <w:rFonts w:ascii="宋体" w:hAnsi="宋体" w:eastAsia="宋体"/>
          <w:sz w:val="24"/>
        </w:rPr>
        <w:t>邓景耀等编译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南美巴塔哥尼亚渔业资源及大西洋金枪鱼类资源现状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本书出售、求购地址：https://www.jiaokey.com/book/detail/11847239.html</w:t>
      </w:r>
    </w:p>
    <w:p>
      <w:r>
        <w:t>更多相关图书推荐：https://www.jiaokey.com</w:t>
      </w:r>
    </w:p>
    <w:p>
      <w:r>
        <w:t>邓景耀等编译 其他作品：https://www.jiaokey.com/tag/邓景耀等编译.html</w:t>
      </w:r>
    </w:p>
    <w:p>
      <w:r>
        <w:t>黄海水产研究所 出版图书：https://www.jiaokey.com/tag/黄海水产研究所.html</w:t>
      </w:r>
    </w:p>
    <w:p>
      <w:r>
        <w:t>关键词搜索：https://www.jiaokey.com/tag/南美巴塔哥尼亚渔业资源及大西洋金枪鱼类资源现状.html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